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806E1C" w:rsidRPr="00806E1C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___</w:t>
      </w:r>
    </w:p>
    <w:p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  <w:r w:rsidR="00E86C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:rsidTr="006378D1">
        <w:tc>
          <w:tcPr>
            <w:tcW w:w="4927" w:type="dxa"/>
            <w:shd w:val="clear" w:color="auto" w:fill="auto"/>
          </w:tcPr>
          <w:p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:rsidTr="006378D1">
              <w:tc>
                <w:tcPr>
                  <w:tcW w:w="4927" w:type="dxa"/>
                  <w:shd w:val="clear" w:color="auto" w:fill="auto"/>
                </w:tcPr>
                <w:p w:rsidR="008F2FB4" w:rsidRPr="008F2FB4" w:rsidRDefault="007076D2" w:rsidP="006378D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 w:rsidR="0075799D">
                    <w:rPr>
                      <w:rFonts w:ascii="Times New Roman" w:hAnsi="Times New Roman"/>
                      <w:sz w:val="22"/>
                      <w:szCs w:val="22"/>
                    </w:rPr>
                    <w:t>202</w:t>
                  </w:r>
                  <w:r w:rsidR="0075799D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5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F65D07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F65D07">
        <w:rPr>
          <w:rFonts w:ascii="Times New Roman" w:hAnsi="Times New Roman"/>
          <w:b/>
          <w:bCs/>
          <w:sz w:val="22"/>
          <w:szCs w:val="22"/>
        </w:rPr>
        <w:t>,</w:t>
      </w:r>
      <w:r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</w:t>
      </w:r>
      <w:r w:rsidR="00667D9F" w:rsidRPr="00E86C80">
        <w:rPr>
          <w:rFonts w:ascii="Times New Roman" w:hAnsi="Times New Roman"/>
          <w:bCs/>
          <w:sz w:val="22"/>
          <w:szCs w:val="22"/>
          <w:highlight w:val="yellow"/>
        </w:rPr>
        <w:t>_____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</w:t>
      </w:r>
      <w:r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другой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9B06A5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Pr="008F2FB4">
        <w:rPr>
          <w:rFonts w:ascii="Times New Roman" w:hAnsi="Times New Roman"/>
          <w:bCs/>
          <w:sz w:val="22"/>
          <w:szCs w:val="22"/>
        </w:rPr>
        <w:t>а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по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Pr="008F2FB4">
        <w:rPr>
          <w:rFonts w:ascii="Times New Roman" w:hAnsi="Times New Roman"/>
          <w:bCs/>
          <w:sz w:val="22"/>
          <w:szCs w:val="22"/>
        </w:rPr>
        <w:t>Сторона</w:t>
      </w:r>
      <w:r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Pr="008F2FB4">
        <w:rPr>
          <w:rFonts w:ascii="Times New Roman" w:hAnsi="Times New Roman"/>
          <w:bCs/>
          <w:sz w:val="22"/>
          <w:szCs w:val="22"/>
        </w:rPr>
        <w:t>заключили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настоящий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Pr="008F2FB4">
        <w:rPr>
          <w:rFonts w:ascii="Times New Roman" w:hAnsi="Times New Roman"/>
          <w:bCs/>
          <w:sz w:val="22"/>
          <w:szCs w:val="22"/>
        </w:rPr>
        <w:t>далее</w:t>
      </w:r>
      <w:r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Pr="008F2FB4">
        <w:rPr>
          <w:rFonts w:ascii="Times New Roman" w:hAnsi="Times New Roman"/>
          <w:bCs/>
          <w:sz w:val="22"/>
          <w:szCs w:val="22"/>
        </w:rPr>
        <w:t>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Pr="00BB3A66">
        <w:rPr>
          <w:rFonts w:ascii="Times New Roman" w:hAnsi="Times New Roman"/>
          <w:bCs/>
          <w:sz w:val="22"/>
          <w:szCs w:val="22"/>
        </w:rPr>
        <w:t xml:space="preserve">: </w:t>
      </w:r>
    </w:p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BB3A66" w:rsidRDefault="00D4259B" w:rsidP="00D4259B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DD64DF" w:rsidRDefault="00D4259B" w:rsidP="00D4259B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D64DF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DD64DF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услуги за предоставление </w:t>
      </w:r>
      <w:r w:rsidRPr="00D4259B">
        <w:rPr>
          <w:rFonts w:ascii="Times New Roman" w:hAnsi="Times New Roman"/>
          <w:color w:val="000000" w:themeColor="text1"/>
          <w:sz w:val="22"/>
          <w:szCs w:val="22"/>
        </w:rPr>
        <w:t>электронного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D64DF">
        <w:rPr>
          <w:rFonts w:ascii="Times New Roman" w:hAnsi="Times New Roman"/>
          <w:sz w:val="22"/>
          <w:szCs w:val="22"/>
        </w:rPr>
        <w:t xml:space="preserve">сертификата по итогам проведения онлайн-конференции </w:t>
      </w:r>
      <w:r w:rsidR="00F65D07" w:rsidRPr="00F65D07">
        <w:rPr>
          <w:rFonts w:ascii="Times New Roman" w:hAnsi="Times New Roman"/>
          <w:sz w:val="22"/>
          <w:szCs w:val="22"/>
        </w:rPr>
        <w:t>«</w:t>
      </w:r>
      <w:r w:rsidR="0075799D" w:rsidRPr="0075799D">
        <w:rPr>
          <w:rFonts w:ascii="Times New Roman" w:hAnsi="Times New Roman"/>
          <w:bCs/>
          <w:color w:val="151515"/>
          <w:sz w:val="22"/>
          <w:szCs w:val="22"/>
          <w:shd w:val="clear" w:color="auto" w:fill="FBFBFB"/>
        </w:rPr>
        <w:t>Новеллы декларационной компании и актуальные задачи государственной антикоррупционной политики в 2025 г.: нормативное регулирование и практическое руководство по его применению</w:t>
      </w:r>
      <w:r w:rsidR="00F65D07" w:rsidRPr="00F65D07">
        <w:rPr>
          <w:rFonts w:ascii="Times New Roman" w:hAnsi="Times New Roman"/>
          <w:bCs/>
          <w:color w:val="151515"/>
          <w:sz w:val="22"/>
          <w:szCs w:val="22"/>
          <w:shd w:val="clear" w:color="auto" w:fill="FBFBFB"/>
        </w:rPr>
        <w:t>»</w:t>
      </w:r>
      <w:r w:rsidR="00F65D07">
        <w:rPr>
          <w:rFonts w:ascii="Segoe UI" w:hAnsi="Segoe UI" w:cs="Segoe UI"/>
          <w:b/>
          <w:bCs/>
          <w:color w:val="151515"/>
          <w:sz w:val="23"/>
          <w:szCs w:val="23"/>
          <w:shd w:val="clear" w:color="auto" w:fill="FBFBFB"/>
        </w:rPr>
        <w:t xml:space="preserve"> </w:t>
      </w:r>
      <w:r w:rsidR="0075799D">
        <w:rPr>
          <w:rFonts w:ascii="Times New Roman" w:hAnsi="Times New Roman"/>
          <w:sz w:val="22"/>
          <w:szCs w:val="22"/>
          <w:lang w:val="en-US"/>
        </w:rPr>
        <w:t xml:space="preserve">25 </w:t>
      </w:r>
      <w:r w:rsidR="0075799D">
        <w:rPr>
          <w:rFonts w:ascii="Times New Roman" w:hAnsi="Times New Roman"/>
          <w:sz w:val="22"/>
          <w:szCs w:val="22"/>
        </w:rPr>
        <w:t>марта 2025</w:t>
      </w:r>
      <w:r w:rsidRPr="00DD64DF">
        <w:rPr>
          <w:rFonts w:ascii="Times New Roman" w:hAnsi="Times New Roman"/>
          <w:sz w:val="22"/>
          <w:szCs w:val="22"/>
        </w:rPr>
        <w:t xml:space="preserve"> года (далее - «Услуги»).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стоимость и порядок оплаты,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</w:t>
      </w:r>
      <w:r>
        <w:rPr>
          <w:rFonts w:ascii="Times New Roman" w:hAnsi="Times New Roman"/>
          <w:sz w:val="22"/>
          <w:szCs w:val="22"/>
        </w:rPr>
        <w:t>услуга</w:t>
      </w:r>
      <w:r w:rsidRPr="008F2FB4">
        <w:rPr>
          <w:rFonts w:ascii="Times New Roman" w:hAnsi="Times New Roman"/>
          <w:sz w:val="22"/>
          <w:szCs w:val="22"/>
        </w:rPr>
        <w:t xml:space="preserve"> Исполнителя полностью удовлетворяет потребности Заказчика.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2.1.1. </w:t>
      </w:r>
      <w:r>
        <w:rPr>
          <w:rFonts w:ascii="Times New Roman" w:hAnsi="Times New Roman"/>
          <w:sz w:val="22"/>
          <w:szCs w:val="22"/>
        </w:rPr>
        <w:t xml:space="preserve">предоставить </w:t>
      </w:r>
      <w:r w:rsidRPr="00D4259B">
        <w:rPr>
          <w:rFonts w:ascii="Times New Roman" w:hAnsi="Times New Roman"/>
          <w:sz w:val="22"/>
          <w:szCs w:val="22"/>
        </w:rPr>
        <w:t>электронный сертификат</w:t>
      </w:r>
      <w:r w:rsidRPr="008F2FB4">
        <w:rPr>
          <w:rFonts w:ascii="Times New Roman" w:hAnsi="Times New Roman"/>
          <w:sz w:val="22"/>
          <w:szCs w:val="22"/>
        </w:rPr>
        <w:t>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2.1.3. обеспечить надлежащее предоставление Услуг, предусмотренных договором.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2.1.4</w:t>
      </w:r>
      <w:r w:rsidRPr="008F2FB4">
        <w:rPr>
          <w:rFonts w:ascii="Times New Roman" w:hAnsi="Times New Roman"/>
          <w:sz w:val="22"/>
          <w:szCs w:val="22"/>
        </w:rPr>
        <w:t>. принимать от Заказчика плату за образовательные услуги;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2.1.5</w:t>
      </w:r>
      <w:r w:rsidRPr="008F2FB4">
        <w:rPr>
          <w:rFonts w:ascii="Times New Roman" w:hAnsi="Times New Roman"/>
          <w:sz w:val="22"/>
          <w:szCs w:val="22"/>
        </w:rPr>
        <w:t xml:space="preserve">. обеспечить </w:t>
      </w:r>
      <w:r>
        <w:rPr>
          <w:rFonts w:ascii="Times New Roman" w:hAnsi="Times New Roman"/>
          <w:sz w:val="22"/>
          <w:szCs w:val="22"/>
        </w:rPr>
        <w:t>представителям Заказчика</w:t>
      </w:r>
      <w:r w:rsidRPr="008F2FB4">
        <w:rPr>
          <w:rFonts w:ascii="Times New Roman" w:hAnsi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2.1.6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. при получении персональных данных </w:t>
      </w:r>
      <w:r>
        <w:rPr>
          <w:rFonts w:ascii="Times New Roman" w:hAnsi="Times New Roman"/>
          <w:sz w:val="22"/>
          <w:szCs w:val="22"/>
          <w:lang w:eastAsia="ru-RU"/>
        </w:rPr>
        <w:t>о представителях Заказчика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 не раскрывать третьим лицам и не распространять персональные данные без </w:t>
      </w:r>
      <w:r>
        <w:rPr>
          <w:rFonts w:ascii="Times New Roman" w:hAnsi="Times New Roman"/>
          <w:sz w:val="22"/>
          <w:szCs w:val="22"/>
          <w:lang w:eastAsia="ru-RU"/>
        </w:rPr>
        <w:t xml:space="preserve">их </w:t>
      </w:r>
      <w:r w:rsidRPr="008F2FB4">
        <w:rPr>
          <w:rFonts w:ascii="Times New Roman" w:hAnsi="Times New Roman"/>
          <w:sz w:val="22"/>
          <w:szCs w:val="22"/>
          <w:lang w:eastAsia="ru-RU"/>
        </w:rPr>
        <w:t>согласия.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  <w:r w:rsidRPr="008F2FB4">
        <w:rPr>
          <w:rFonts w:ascii="Times New Roman" w:hAnsi="Times New Roman"/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</w:t>
      </w:r>
      <w:r>
        <w:rPr>
          <w:rFonts w:ascii="Times New Roman" w:hAnsi="Times New Roman"/>
          <w:sz w:val="22"/>
          <w:szCs w:val="22"/>
        </w:rPr>
        <w:t>конференции</w:t>
      </w:r>
      <w:r w:rsidRPr="008F2FB4">
        <w:rPr>
          <w:rFonts w:ascii="Times New Roman" w:hAnsi="Times New Roman"/>
          <w:sz w:val="22"/>
          <w:szCs w:val="22"/>
        </w:rPr>
        <w:t xml:space="preserve">, Исполнитель оставляет за собой право на отказ от исполнения договора. 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>
        <w:rPr>
          <w:rFonts w:ascii="Times New Roman" w:hAnsi="Times New Roman"/>
          <w:sz w:val="22"/>
          <w:szCs w:val="22"/>
          <w:lang w:eastAsia="ru-RU"/>
        </w:rPr>
        <w:t>Услуга не облагае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259B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Pr="008F2FB4">
        <w:rPr>
          <w:rFonts w:ascii="Times New Roman" w:hAnsi="Times New Roman" w:cs="Times New Roman"/>
          <w:sz w:val="22"/>
          <w:szCs w:val="22"/>
        </w:rPr>
        <w:t>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:rsidR="00D4259B" w:rsidRPr="008F2FB4" w:rsidRDefault="00D4259B" w:rsidP="00D4259B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8F2FB4">
        <w:rPr>
          <w:rFonts w:ascii="Times New Roman" w:hAnsi="Times New Roman" w:cs="Times New Roman"/>
          <w:sz w:val="22"/>
          <w:szCs w:val="22"/>
        </w:rPr>
        <w:t>.1. Настоящий Договор вступает в силу с момента его заключения и действует до полного исполнения Сторонами обязательств.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4. Настоящий Договор может быть расторгнут по инициативе Исполнителя в</w:t>
      </w:r>
      <w:r>
        <w:rPr>
          <w:rFonts w:ascii="Times New Roman" w:hAnsi="Times New Roman" w:cs="Times New Roman"/>
          <w:sz w:val="22"/>
          <w:szCs w:val="22"/>
        </w:rPr>
        <w:t xml:space="preserve"> одностороннем порядке в случае</w:t>
      </w:r>
      <w:r w:rsidRPr="008F2FB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5.4.1</w:t>
      </w:r>
      <w:r w:rsidRPr="008F2FB4">
        <w:rPr>
          <w:rFonts w:ascii="Times New Roman" w:hAnsi="Times New Roman" w:cs="Times New Roman"/>
          <w:sz w:val="22"/>
          <w:szCs w:val="22"/>
        </w:rPr>
        <w:t xml:space="preserve">. просрочки оплаты стоимости платных услуг;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5.4.2</w:t>
      </w:r>
      <w:r w:rsidRPr="008F2FB4">
        <w:rPr>
          <w:rFonts w:ascii="Times New Roman" w:hAnsi="Times New Roman" w:cs="Times New Roman"/>
          <w:sz w:val="22"/>
          <w:szCs w:val="22"/>
        </w:rPr>
        <w:t>. ликвидации Исполнителя;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5.4.3</w:t>
      </w:r>
      <w:r w:rsidRPr="008F2FB4">
        <w:rPr>
          <w:rFonts w:ascii="Times New Roman" w:hAnsi="Times New Roman" w:cs="Times New Roman"/>
          <w:sz w:val="22"/>
          <w:szCs w:val="22"/>
        </w:rPr>
        <w:t>. в иных случаях, предусмотренных законодательством Российской Федерации.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:rsidR="00D4259B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86C80">
        <w:rPr>
          <w:rFonts w:ascii="Times New Roman" w:hAnsi="Times New Roman"/>
          <w:sz w:val="22"/>
          <w:szCs w:val="22"/>
        </w:rPr>
        <w:t>.1</w:t>
      </w:r>
      <w:r w:rsidRPr="008F2FB4">
        <w:rPr>
          <w:rFonts w:ascii="Times New Roman" w:hAnsi="Times New Roman"/>
          <w:sz w:val="22"/>
          <w:szCs w:val="22"/>
        </w:rPr>
        <w:t>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86C80">
        <w:rPr>
          <w:rFonts w:ascii="Times New Roman" w:hAnsi="Times New Roman"/>
          <w:sz w:val="22"/>
          <w:szCs w:val="22"/>
        </w:rPr>
        <w:t>.2</w:t>
      </w:r>
      <w:r w:rsidRPr="008F2FB4">
        <w:rPr>
          <w:rFonts w:ascii="Times New Roman" w:hAnsi="Times New Roman"/>
          <w:sz w:val="22"/>
          <w:szCs w:val="22"/>
        </w:rPr>
        <w:t xml:space="preserve">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</w:t>
      </w:r>
      <w:r w:rsidR="00E86C80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30 (тридцать) дней с даты ее получения.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:rsidR="00D4259B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Pr="00AE3B26">
        <w:rPr>
          <w:rFonts w:ascii="Times New Roman" w:hAnsi="Times New Roman" w:cs="Times New Roman"/>
          <w:sz w:val="22"/>
          <w:szCs w:val="22"/>
        </w:rPr>
        <w:t>https://fuap.ru</w:t>
      </w:r>
      <w:r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A92335">
        <w:rPr>
          <w:rFonts w:ascii="Times New Roman" w:hAnsi="Times New Roman" w:cs="Times New Roman"/>
          <w:sz w:val="22"/>
          <w:szCs w:val="22"/>
        </w:rPr>
        <w:t>.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</w:t>
      </w:r>
      <w:r w:rsidRPr="00F17B2F">
        <w:rPr>
          <w:rFonts w:ascii="Times New Roman" w:hAnsi="Times New Roman" w:cs="Times New Roman"/>
          <w:sz w:val="22"/>
          <w:szCs w:val="22"/>
        </w:rPr>
        <w:t xml:space="preserve">. </w:t>
      </w:r>
      <w:r w:rsidRPr="00A92335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259B" w:rsidRPr="00A92335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99D" w:rsidRPr="008F2FB4" w:rsidRDefault="0075799D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C80" w:rsidRPr="00E86C80" w:rsidRDefault="008F2FB4" w:rsidP="00E86C80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lastRenderedPageBreak/>
        <w:t>Адреса и реквизиты сторон</w:t>
      </w:r>
    </w:p>
    <w:p w:rsidR="00E86C80" w:rsidRDefault="00E86C80"/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376C0C" w:rsidRPr="00F84C88" w:rsidTr="006A15A5">
        <w:tc>
          <w:tcPr>
            <w:tcW w:w="5245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 xml:space="preserve">Юридический адрес: </w:t>
            </w:r>
            <w:r w:rsidR="008E55AF" w:rsidRPr="008F2FB4">
              <w:rPr>
                <w:rFonts w:ascii="Times New Roman" w:hAnsi="Times New Roman"/>
                <w:sz w:val="22"/>
                <w:szCs w:val="22"/>
              </w:rPr>
              <w:t>141306, Россия, МОСКОВСКАЯ ОБЛАСТЬ, СЕРГИЕВ ПОСАД, УЛ. ПИОНЕРСКАЯ, ДОМ 6, ПОМЕЩЕНИЕ В 223 ЭТАЖ 2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141305, Московская область, г. Сергиев Посад, ул. Пионерская, д.6., офис 223 </w:t>
            </w:r>
          </w:p>
          <w:p w:rsidR="00376C0C" w:rsidRPr="00F65D07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.: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:rsidR="00376C0C" w:rsidRPr="00F65D07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</w:t>
            </w:r>
            <w:r w:rsidR="008D26DB"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="008D26DB" w:rsidRPr="00F65D07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fuap</w:t>
            </w:r>
            <w:proofErr w:type="spellEnd"/>
            <w:r w:rsidR="008D26DB" w:rsidRPr="00F65D07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376C0C" w:rsidRPr="00F65D07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>ИНН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:rsidR="00376C0C" w:rsidRPr="008F2FB4" w:rsidRDefault="00376C0C" w:rsidP="00CA01B1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:rsidR="00376C0C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376C0C" w:rsidRPr="006A15A5" w:rsidTr="00E86C80">
        <w:trPr>
          <w:trHeight w:val="1026"/>
        </w:trPr>
        <w:tc>
          <w:tcPr>
            <w:tcW w:w="5245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proofErr w:type="spellStart"/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Директор</w:t>
            </w:r>
            <w:proofErr w:type="spellEnd"/>
          </w:p>
          <w:p w:rsidR="00376C0C" w:rsidRPr="006A15A5" w:rsidRDefault="00376C0C" w:rsidP="00CA01B1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АНО ДПО ПЕРВЫЙ ФУАП</w:t>
            </w:r>
          </w:p>
          <w:p w:rsidR="00376C0C" w:rsidRPr="008F2FB4" w:rsidRDefault="00376C0C" w:rsidP="00CA01B1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376C0C" w:rsidRPr="007076D2" w:rsidRDefault="007076D2" w:rsidP="00F65D0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:rsidR="007076D2" w:rsidRPr="007076D2" w:rsidRDefault="007076D2" w:rsidP="00F65D0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6A15A5" w:rsidRPr="006A15A5" w:rsidTr="00E86C80">
        <w:trPr>
          <w:trHeight w:val="1026"/>
        </w:trPr>
        <w:tc>
          <w:tcPr>
            <w:tcW w:w="5245" w:type="dxa"/>
            <w:shd w:val="clear" w:color="auto" w:fill="auto"/>
          </w:tcPr>
          <w:p w:rsidR="006A15A5" w:rsidRPr="00C316E3" w:rsidRDefault="006A15A5" w:rsidP="006A15A5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316E3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C316E3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:rsidR="006A15A5" w:rsidRPr="00C316E3" w:rsidRDefault="006A15A5" w:rsidP="006A15A5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A15A5" w:rsidRPr="00C316E3" w:rsidRDefault="007076D2" w:rsidP="006A15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:rsidR="006A15A5" w:rsidRPr="00C316E3" w:rsidRDefault="006A15A5" w:rsidP="006A15A5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9030CE" w:rsidRPr="00C316E3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:rsidR="00AE5ACA" w:rsidRDefault="005A3CDE">
      <w:r>
        <w:br w:type="page"/>
      </w:r>
    </w:p>
    <w:p w:rsidR="00C00091" w:rsidRPr="00F57F35" w:rsidRDefault="005A3CDE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C00091" w:rsidRPr="00F57F35" w:rsidRDefault="005A3CDE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услуг</w:t>
      </w:r>
      <w:bookmarkEnd w:id="0"/>
      <w:r w:rsidR="00806E1C">
        <w:rPr>
          <w:rFonts w:ascii="Times New Roman" w:hAnsi="Times New Roman"/>
          <w:sz w:val="18"/>
          <w:szCs w:val="18"/>
        </w:rPr>
        <w:t xml:space="preserve"> №</w:t>
      </w:r>
      <w:r w:rsidR="00806E1C" w:rsidRPr="00806E1C">
        <w:rPr>
          <w:rFonts w:ascii="Times New Roman" w:hAnsi="Times New Roman"/>
          <w:sz w:val="18"/>
          <w:szCs w:val="18"/>
          <w:highlight w:val="yellow"/>
        </w:rPr>
        <w:t>___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7076D2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7076D2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F65D07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F65D07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="0075799D">
        <w:rPr>
          <w:rFonts w:ascii="Times New Roman" w:hAnsi="Times New Roman"/>
          <w:bCs/>
          <w:sz w:val="18"/>
          <w:szCs w:val="18"/>
        </w:rPr>
        <w:t xml:space="preserve"> 2025</w:t>
      </w:r>
      <w:r w:rsidRPr="00F57F35">
        <w:rPr>
          <w:rFonts w:ascii="Times New Roman" w:hAnsi="Times New Roman"/>
          <w:bCs/>
          <w:sz w:val="18"/>
          <w:szCs w:val="18"/>
        </w:rPr>
        <w:t xml:space="preserve">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C00091" w:rsidRPr="00AA11D5">
        <w:tc>
          <w:tcPr>
            <w:tcW w:w="4823" w:type="dxa"/>
            <w:shd w:val="clear" w:color="auto" w:fill="auto"/>
          </w:tcPr>
          <w:p w:rsidR="00C00091" w:rsidRPr="00F57F35" w:rsidRDefault="005A3CDE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C00091" w:rsidRPr="00AA11D5">
              <w:tc>
                <w:tcPr>
                  <w:tcW w:w="5592" w:type="dxa"/>
                  <w:shd w:val="clear" w:color="auto" w:fill="auto"/>
                </w:tcPr>
                <w:p w:rsidR="00C00091" w:rsidRPr="00F57F35" w:rsidRDefault="00F65D07" w:rsidP="0075799D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806E1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___________</w:t>
                  </w:r>
                  <w:r w:rsidR="005A3CDE" w:rsidRPr="00806E1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202</w:t>
                  </w:r>
                  <w:r w:rsidR="0075799D" w:rsidRPr="00806E1C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5A3CDE" w:rsidRPr="00806E1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г</w:t>
                  </w:r>
                  <w:r w:rsidR="005A3CDE"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:rsidR="00C00091" w:rsidRPr="00F57F35" w:rsidRDefault="005E051B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C00091" w:rsidRPr="00F57F35" w:rsidRDefault="005E051B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00091" w:rsidRPr="00C316E3" w:rsidRDefault="005A3CDE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316E3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Лицензии от № Л</w:t>
      </w:r>
      <w:bookmarkStart w:id="1" w:name="_GoBack"/>
      <w:bookmarkEnd w:id="1"/>
      <w:r w:rsidRPr="00C316E3">
        <w:rPr>
          <w:rFonts w:ascii="Times New Roman" w:hAnsi="Times New Roman" w:cs="Times New Roman"/>
          <w:bCs/>
          <w:sz w:val="18"/>
          <w:szCs w:val="18"/>
        </w:rPr>
        <w:t xml:space="preserve">035-01255-50/00267864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C316E3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</w:t>
      </w:r>
      <w:r w:rsidR="007076D2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C316E3">
        <w:rPr>
          <w:rFonts w:ascii="Times New Roman" w:hAnsi="Times New Roman" w:cs="Times New Roman"/>
          <w:bCs/>
          <w:sz w:val="18"/>
          <w:szCs w:val="18"/>
        </w:rPr>
        <w:t>»,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C316E3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C316E3">
        <w:rPr>
          <w:rFonts w:ascii="Times New Roman" w:hAnsi="Times New Roman" w:cs="Times New Roman"/>
          <w:sz w:val="18"/>
          <w:szCs w:val="18"/>
        </w:rPr>
        <w:t>:</w:t>
      </w:r>
    </w:p>
    <w:p w:rsidR="00D4259B" w:rsidRPr="00F57F35" w:rsidRDefault="00D4259B" w:rsidP="00C05C67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 xml:space="preserve">1. Исполнитель обязуется оказать услуги по </w:t>
      </w:r>
      <w:r>
        <w:rPr>
          <w:rFonts w:ascii="Times New Roman" w:hAnsi="Times New Roman" w:cs="Times New Roman"/>
          <w:sz w:val="18"/>
          <w:szCs w:val="18"/>
        </w:rPr>
        <w:t xml:space="preserve">предоставлению </w:t>
      </w:r>
      <w:r w:rsidRPr="00D4259B">
        <w:rPr>
          <w:rFonts w:ascii="Times New Roman" w:hAnsi="Times New Roman" w:cs="Times New Roman"/>
          <w:sz w:val="18"/>
          <w:szCs w:val="18"/>
        </w:rPr>
        <w:t xml:space="preserve">электронного </w:t>
      </w:r>
      <w:r>
        <w:rPr>
          <w:rFonts w:ascii="Times New Roman" w:hAnsi="Times New Roman" w:cs="Times New Roman"/>
          <w:sz w:val="18"/>
          <w:szCs w:val="18"/>
        </w:rPr>
        <w:t xml:space="preserve">сертификата </w:t>
      </w:r>
      <w:r w:rsidRPr="00A75C84">
        <w:rPr>
          <w:rFonts w:ascii="Times New Roman" w:hAnsi="Times New Roman"/>
          <w:sz w:val="18"/>
          <w:szCs w:val="18"/>
        </w:rPr>
        <w:t xml:space="preserve">по итогам проведения онлайн-конференции </w:t>
      </w:r>
      <w:r w:rsidR="0075799D" w:rsidRPr="0075799D">
        <w:rPr>
          <w:rFonts w:ascii="Times New Roman" w:hAnsi="Times New Roman" w:cs="Times New Roman"/>
          <w:sz w:val="18"/>
          <w:szCs w:val="18"/>
        </w:rPr>
        <w:t>«Новеллы декларационной компании и актуальные задачи государственной антикоррупционной политики в 2025 г.: нормативное регулирование и практическое руководство по его применению»</w:t>
      </w:r>
      <w:r w:rsidRPr="00A75C84">
        <w:rPr>
          <w:rFonts w:ascii="Times New Roman" w:hAnsi="Times New Roman"/>
          <w:sz w:val="18"/>
          <w:szCs w:val="18"/>
        </w:rPr>
        <w:t xml:space="preserve"> </w:t>
      </w:r>
      <w:r w:rsidR="0075799D">
        <w:rPr>
          <w:rFonts w:ascii="Times New Roman" w:hAnsi="Times New Roman"/>
          <w:sz w:val="18"/>
          <w:szCs w:val="18"/>
        </w:rPr>
        <w:t>25</w:t>
      </w:r>
      <w:r w:rsidR="00F65D07">
        <w:rPr>
          <w:rFonts w:ascii="Times New Roman" w:hAnsi="Times New Roman"/>
          <w:sz w:val="18"/>
          <w:szCs w:val="18"/>
        </w:rPr>
        <w:t xml:space="preserve"> </w:t>
      </w:r>
      <w:r w:rsidR="004E4417">
        <w:rPr>
          <w:rFonts w:ascii="Times New Roman" w:hAnsi="Times New Roman"/>
          <w:sz w:val="18"/>
          <w:szCs w:val="18"/>
        </w:rPr>
        <w:t>марта 2025</w:t>
      </w:r>
      <w:r w:rsidRPr="00A75C84">
        <w:rPr>
          <w:rFonts w:ascii="Times New Roman" w:hAnsi="Times New Roman"/>
          <w:sz w:val="18"/>
          <w:szCs w:val="18"/>
        </w:rPr>
        <w:t xml:space="preserve"> года</w:t>
      </w:r>
      <w:r>
        <w:rPr>
          <w:rFonts w:ascii="Times New Roman" w:hAnsi="Times New Roman"/>
          <w:sz w:val="18"/>
          <w:szCs w:val="18"/>
        </w:rPr>
        <w:t>.</w:t>
      </w:r>
    </w:p>
    <w:p w:rsidR="00D4259B" w:rsidRDefault="00D4259B" w:rsidP="00C05C6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Pr="00F57F35" w:rsidRDefault="00D4259B" w:rsidP="00D4259B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Список </w:t>
      </w:r>
      <w:r>
        <w:rPr>
          <w:rFonts w:ascii="Times New Roman" w:hAnsi="Times New Roman"/>
          <w:bCs/>
          <w:sz w:val="18"/>
          <w:szCs w:val="18"/>
          <w:lang w:eastAsia="ru-RU"/>
        </w:rPr>
        <w:t>участников конференции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086"/>
        <w:gridCol w:w="2065"/>
        <w:gridCol w:w="1908"/>
      </w:tblGrid>
      <w:tr w:rsidR="00BE1620" w:rsidTr="00BE1620">
        <w:trPr>
          <w:trHeight w:val="9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контактный телефон, адрес проживания,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75799D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E1620"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312"/>
          <w:jc w:val="center"/>
        </w:trPr>
        <w:tc>
          <w:tcPr>
            <w:tcW w:w="4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620" w:rsidRDefault="007579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3300.00</w:t>
            </w:r>
          </w:p>
        </w:tc>
      </w:tr>
    </w:tbl>
    <w:p w:rsidR="00C00091" w:rsidRDefault="005E051B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C00091" w:rsidRPr="00F57F35" w:rsidRDefault="005A3CDE" w:rsidP="00F5769E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E1620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="00F65D07"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75799D">
        <w:rPr>
          <w:rFonts w:ascii="Times New Roman" w:hAnsi="Times New Roman"/>
          <w:b/>
          <w:bCs/>
          <w:sz w:val="18"/>
          <w:szCs w:val="18"/>
          <w:lang w:eastAsia="ru-RU"/>
        </w:rPr>
        <w:t>33</w:t>
      </w:r>
      <w:r w:rsidR="00BE1620" w:rsidRPr="00BE1620">
        <w:rPr>
          <w:rFonts w:ascii="Times New Roman" w:hAnsi="Times New Roman"/>
          <w:b/>
          <w:bCs/>
          <w:sz w:val="18"/>
          <w:szCs w:val="18"/>
          <w:lang w:eastAsia="ru-RU"/>
        </w:rPr>
        <w:t>0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>0.00 руб. (</w:t>
      </w:r>
      <w:r w:rsidR="0075799D">
        <w:rPr>
          <w:rFonts w:ascii="Times New Roman" w:hAnsi="Times New Roman"/>
          <w:b/>
          <w:bCs/>
          <w:sz w:val="18"/>
          <w:szCs w:val="18"/>
          <w:lang w:eastAsia="ru-RU"/>
        </w:rPr>
        <w:t>три</w:t>
      </w:r>
      <w:r w:rsidR="00BE1620"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тысячи </w:t>
      </w:r>
      <w:r w:rsidR="0075799D">
        <w:rPr>
          <w:rFonts w:ascii="Times New Roman" w:hAnsi="Times New Roman"/>
          <w:b/>
          <w:bCs/>
          <w:sz w:val="18"/>
          <w:szCs w:val="18"/>
          <w:lang w:eastAsia="ru-RU"/>
        </w:rPr>
        <w:t>триста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рублей 00 копеек)</w:t>
      </w:r>
    </w:p>
    <w:p w:rsidR="00F57F35" w:rsidRPr="00F57F35" w:rsidRDefault="005E051B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:rsidR="00F57F35" w:rsidRPr="00F57F35" w:rsidRDefault="005E051B" w:rsidP="00F57F35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F65D07" w:rsidRPr="00F57F35" w:rsidRDefault="00F65D07" w:rsidP="00F65D07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:rsidR="00C00091" w:rsidRPr="00F57F35" w:rsidRDefault="005A3CDE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:rsidR="00C00091" w:rsidRPr="00F57F35" w:rsidRDefault="005A3CDE" w:rsidP="00F57F35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:rsidR="00C00091" w:rsidRDefault="005E051B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C00091" w:rsidRDefault="005E051B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C00091">
        <w:trPr>
          <w:trHeight w:val="1026"/>
        </w:trPr>
        <w:tc>
          <w:tcPr>
            <w:tcW w:w="5244" w:type="dxa"/>
            <w:shd w:val="clear" w:color="auto" w:fill="auto"/>
          </w:tcPr>
          <w:p w:rsidR="00C00091" w:rsidRDefault="005A3CDE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C00091" w:rsidRDefault="005A3CDE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00091" w:rsidRDefault="005A3CD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:rsidR="00C00091" w:rsidRDefault="005E051B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0091" w:rsidRDefault="005A3CD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:rsidR="00C00091" w:rsidRDefault="005A3CD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:rsidR="00C00091" w:rsidRDefault="005A3CDE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:rsidR="00F65D07" w:rsidRDefault="007076D2" w:rsidP="007076D2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7076D2" w:rsidRDefault="007076D2" w:rsidP="007076D2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F65D07" w:rsidRDefault="00F65D07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00091" w:rsidRDefault="005A3C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="007076D2"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>И.О. Фамилия</w:t>
            </w:r>
          </w:p>
          <w:p w:rsidR="00C00091" w:rsidRDefault="005A3CDE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:rsidR="00C00091" w:rsidRDefault="005E051B">
      <w:pPr>
        <w:rPr>
          <w:rFonts w:ascii="Times New Roman" w:hAnsi="Times New Roman"/>
          <w:b/>
          <w:sz w:val="20"/>
          <w:szCs w:val="20"/>
        </w:rPr>
      </w:pPr>
    </w:p>
    <w:p w:rsidR="00C00091" w:rsidRDefault="005E051B">
      <w:pPr>
        <w:rPr>
          <w:rFonts w:ascii="Times New Roman" w:hAnsi="Times New Roman"/>
          <w:b/>
          <w:sz w:val="18"/>
          <w:szCs w:val="18"/>
        </w:rPr>
      </w:pPr>
    </w:p>
    <w:sectPr w:rsidR="00C00091" w:rsidSect="00EC4943">
      <w:footerReference w:type="default" r:id="rId8"/>
      <w:headerReference w:type="first" r:id="rId9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1B" w:rsidRDefault="005E051B">
      <w:r>
        <w:separator/>
      </w:r>
    </w:p>
  </w:endnote>
  <w:endnote w:type="continuationSeparator" w:id="0">
    <w:p w:rsidR="005E051B" w:rsidRDefault="005E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1B" w:rsidRDefault="005E051B">
      <w:r>
        <w:separator/>
      </w:r>
    </w:p>
  </w:footnote>
  <w:footnote w:type="continuationSeparator" w:id="0">
    <w:p w:rsidR="005E051B" w:rsidRDefault="005E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 w:rsidP="00863372">
    <w:pPr>
      <w:pStyle w:val="af7"/>
      <w:jc w:val="right"/>
      <w:rPr>
        <w:sz w:val="12"/>
        <w:szCs w:val="12"/>
      </w:rPr>
    </w:pPr>
  </w:p>
  <w:p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287B"/>
    <w:rsid w:val="00023895"/>
    <w:rsid w:val="0002608C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CCE"/>
    <w:rsid w:val="00177373"/>
    <w:rsid w:val="00180382"/>
    <w:rsid w:val="001837A5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10D8"/>
    <w:rsid w:val="001E4017"/>
    <w:rsid w:val="001E6FC8"/>
    <w:rsid w:val="00202019"/>
    <w:rsid w:val="00212288"/>
    <w:rsid w:val="002127A0"/>
    <w:rsid w:val="00221725"/>
    <w:rsid w:val="00227E67"/>
    <w:rsid w:val="002366DD"/>
    <w:rsid w:val="0025739C"/>
    <w:rsid w:val="002648BD"/>
    <w:rsid w:val="00270917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D2FC9"/>
    <w:rsid w:val="002D3730"/>
    <w:rsid w:val="002D39EF"/>
    <w:rsid w:val="002D61E0"/>
    <w:rsid w:val="002D66A8"/>
    <w:rsid w:val="002F07CE"/>
    <w:rsid w:val="002F1F0C"/>
    <w:rsid w:val="002F26CC"/>
    <w:rsid w:val="00300E1D"/>
    <w:rsid w:val="00302D70"/>
    <w:rsid w:val="0030332E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91694"/>
    <w:rsid w:val="00394D73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A7B"/>
    <w:rsid w:val="00492FF2"/>
    <w:rsid w:val="004B66A0"/>
    <w:rsid w:val="004B69D5"/>
    <w:rsid w:val="004B6F50"/>
    <w:rsid w:val="004C0C74"/>
    <w:rsid w:val="004D214A"/>
    <w:rsid w:val="004D557E"/>
    <w:rsid w:val="004D60AD"/>
    <w:rsid w:val="004D71A9"/>
    <w:rsid w:val="004E015A"/>
    <w:rsid w:val="004E1451"/>
    <w:rsid w:val="004E41C2"/>
    <w:rsid w:val="004E4417"/>
    <w:rsid w:val="00500740"/>
    <w:rsid w:val="005058CC"/>
    <w:rsid w:val="00513ECD"/>
    <w:rsid w:val="00516969"/>
    <w:rsid w:val="0052409D"/>
    <w:rsid w:val="005250F2"/>
    <w:rsid w:val="00525891"/>
    <w:rsid w:val="00527E07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A3CDE"/>
    <w:rsid w:val="005B1A22"/>
    <w:rsid w:val="005B2809"/>
    <w:rsid w:val="005B51A2"/>
    <w:rsid w:val="005B53FB"/>
    <w:rsid w:val="005B6AF7"/>
    <w:rsid w:val="005C3AB3"/>
    <w:rsid w:val="005D3355"/>
    <w:rsid w:val="005D4ED1"/>
    <w:rsid w:val="005D61C5"/>
    <w:rsid w:val="005D7A85"/>
    <w:rsid w:val="005E051B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67D9F"/>
    <w:rsid w:val="00674507"/>
    <w:rsid w:val="00674D51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4557"/>
    <w:rsid w:val="00706328"/>
    <w:rsid w:val="00706D81"/>
    <w:rsid w:val="007076D2"/>
    <w:rsid w:val="00713C88"/>
    <w:rsid w:val="00716B2D"/>
    <w:rsid w:val="007237F0"/>
    <w:rsid w:val="00736721"/>
    <w:rsid w:val="00741D6D"/>
    <w:rsid w:val="00745318"/>
    <w:rsid w:val="00745F00"/>
    <w:rsid w:val="007472EC"/>
    <w:rsid w:val="0075045C"/>
    <w:rsid w:val="0075799D"/>
    <w:rsid w:val="00760281"/>
    <w:rsid w:val="00765B70"/>
    <w:rsid w:val="00765CBA"/>
    <w:rsid w:val="00770179"/>
    <w:rsid w:val="0077037D"/>
    <w:rsid w:val="00770655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5675"/>
    <w:rsid w:val="00806E1C"/>
    <w:rsid w:val="008111E4"/>
    <w:rsid w:val="00822812"/>
    <w:rsid w:val="00831320"/>
    <w:rsid w:val="008313AD"/>
    <w:rsid w:val="00832FF4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4CB7"/>
    <w:rsid w:val="008851C2"/>
    <w:rsid w:val="008935DD"/>
    <w:rsid w:val="00895622"/>
    <w:rsid w:val="008958A2"/>
    <w:rsid w:val="00896A14"/>
    <w:rsid w:val="008A044A"/>
    <w:rsid w:val="008B1FEB"/>
    <w:rsid w:val="008B459B"/>
    <w:rsid w:val="008C2DFC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6EE7"/>
    <w:rsid w:val="00910DD3"/>
    <w:rsid w:val="00911FF4"/>
    <w:rsid w:val="00912F8D"/>
    <w:rsid w:val="00915377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67989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2CAD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77EB"/>
    <w:rsid w:val="00AA008F"/>
    <w:rsid w:val="00AA0695"/>
    <w:rsid w:val="00AA6D9B"/>
    <w:rsid w:val="00AB2296"/>
    <w:rsid w:val="00AB2BCC"/>
    <w:rsid w:val="00AB3D60"/>
    <w:rsid w:val="00AD346F"/>
    <w:rsid w:val="00AD542F"/>
    <w:rsid w:val="00AE0C47"/>
    <w:rsid w:val="00AE0D2A"/>
    <w:rsid w:val="00AE3B03"/>
    <w:rsid w:val="00AE3B26"/>
    <w:rsid w:val="00AE5ACA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3861"/>
    <w:rsid w:val="00B561F0"/>
    <w:rsid w:val="00B613FA"/>
    <w:rsid w:val="00B647E9"/>
    <w:rsid w:val="00B66BD0"/>
    <w:rsid w:val="00B6766F"/>
    <w:rsid w:val="00B67818"/>
    <w:rsid w:val="00B80269"/>
    <w:rsid w:val="00B82226"/>
    <w:rsid w:val="00B84AF9"/>
    <w:rsid w:val="00B96F79"/>
    <w:rsid w:val="00BA4F4E"/>
    <w:rsid w:val="00BA5D47"/>
    <w:rsid w:val="00BB3A66"/>
    <w:rsid w:val="00BC09AF"/>
    <w:rsid w:val="00BC1482"/>
    <w:rsid w:val="00BC1739"/>
    <w:rsid w:val="00BC336E"/>
    <w:rsid w:val="00BD3B7B"/>
    <w:rsid w:val="00BD670F"/>
    <w:rsid w:val="00BD6899"/>
    <w:rsid w:val="00BE1292"/>
    <w:rsid w:val="00BE1620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16E3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259B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7EEC"/>
    <w:rsid w:val="00DC07C8"/>
    <w:rsid w:val="00DC1762"/>
    <w:rsid w:val="00DE07DA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C80"/>
    <w:rsid w:val="00E86FAE"/>
    <w:rsid w:val="00E87937"/>
    <w:rsid w:val="00E949CC"/>
    <w:rsid w:val="00EA6DE4"/>
    <w:rsid w:val="00EB55B7"/>
    <w:rsid w:val="00EB6DA8"/>
    <w:rsid w:val="00EC21CA"/>
    <w:rsid w:val="00EC486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F027A2"/>
    <w:rsid w:val="00F0694C"/>
    <w:rsid w:val="00F07090"/>
    <w:rsid w:val="00F11A6B"/>
    <w:rsid w:val="00F152F2"/>
    <w:rsid w:val="00F15300"/>
    <w:rsid w:val="00F17280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6132B"/>
    <w:rsid w:val="00F65D07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2FAE"/>
    <w:rsid w:val="00FB48B5"/>
    <w:rsid w:val="00FB7213"/>
    <w:rsid w:val="00FC31CD"/>
    <w:rsid w:val="00FC4937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4015-23DA-4A91-BF1C-B911095D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11299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10</cp:revision>
  <cp:lastPrinted>2019-01-29T08:41:00Z</cp:lastPrinted>
  <dcterms:created xsi:type="dcterms:W3CDTF">2024-09-27T09:04:00Z</dcterms:created>
  <dcterms:modified xsi:type="dcterms:W3CDTF">2025-03-18T04:46:00Z</dcterms:modified>
</cp:coreProperties>
</file>